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rPr>
      </w:pPr>
      <w:r>
        <w:rPr>
          <w:b/>
          <w:sz w:val="24"/>
        </w:rPr>
        <w:t>浙江伟明盛青能源新材料有限公司温州锂电池新材料产业基地项目环境影响评价信息公示</w:t>
      </w:r>
    </w:p>
    <w:p>
      <w:pPr>
        <w:jc w:val="center"/>
        <w:rPr>
          <w:b/>
          <w:sz w:val="24"/>
        </w:rPr>
      </w:pPr>
    </w:p>
    <w:p>
      <w:pPr>
        <w:widowControl/>
        <w:ind w:firstLine="420" w:firstLineChars="200"/>
        <w:jc w:val="left"/>
        <w:rPr>
          <w:bCs/>
          <w:kern w:val="0"/>
          <w:szCs w:val="21"/>
        </w:rPr>
      </w:pPr>
      <w:r>
        <w:rPr>
          <w:bCs/>
          <w:kern w:val="0"/>
          <w:szCs w:val="21"/>
        </w:rPr>
        <w:t>根据</w:t>
      </w:r>
      <w:r>
        <w:rPr>
          <w:rFonts w:hint="eastAsia"/>
          <w:bCs/>
          <w:kern w:val="0"/>
          <w:szCs w:val="21"/>
        </w:rPr>
        <w:t>《浙江省建设项目环境保护管理办法》（浙江省人民政府令第388号</w:t>
      </w:r>
      <w:r>
        <w:rPr>
          <w:bCs/>
          <w:kern w:val="0"/>
          <w:szCs w:val="21"/>
        </w:rPr>
        <w:t>）要求，建设单位于2022年8月</w:t>
      </w:r>
      <w:r>
        <w:rPr>
          <w:rFonts w:hint="eastAsia"/>
          <w:bCs/>
          <w:kern w:val="0"/>
          <w:szCs w:val="21"/>
        </w:rPr>
        <w:t>1</w:t>
      </w:r>
      <w:r>
        <w:rPr>
          <w:bCs/>
          <w:kern w:val="0"/>
          <w:szCs w:val="21"/>
        </w:rPr>
        <w:t>7日起进行公示，公示期限为公告日起10个工作日内。</w:t>
      </w:r>
    </w:p>
    <w:p>
      <w:pPr>
        <w:ind w:firstLine="422" w:firstLineChars="200"/>
        <w:rPr>
          <w:b/>
          <w:kern w:val="0"/>
          <w:szCs w:val="21"/>
        </w:rPr>
      </w:pPr>
    </w:p>
    <w:p>
      <w:pPr>
        <w:ind w:firstLine="422" w:firstLineChars="200"/>
        <w:rPr>
          <w:b/>
          <w:kern w:val="0"/>
          <w:szCs w:val="21"/>
        </w:rPr>
      </w:pPr>
      <w:r>
        <w:rPr>
          <w:b/>
          <w:kern w:val="0"/>
          <w:szCs w:val="21"/>
        </w:rPr>
        <w:t>（一）建设项目基本情况概述</w:t>
      </w:r>
    </w:p>
    <w:p>
      <w:pPr>
        <w:ind w:firstLine="420" w:firstLineChars="200"/>
        <w:rPr>
          <w:bCs/>
          <w:kern w:val="0"/>
          <w:szCs w:val="21"/>
        </w:rPr>
      </w:pPr>
      <w:r>
        <w:rPr>
          <w:bCs/>
          <w:kern w:val="0"/>
          <w:szCs w:val="21"/>
        </w:rPr>
        <w:t>项目名称：</w:t>
      </w:r>
      <w:r>
        <w:rPr>
          <w:szCs w:val="21"/>
        </w:rPr>
        <w:t>浙江伟明盛青能源新材料有限公司温州锂电池新材料产业基地项目</w:t>
      </w:r>
    </w:p>
    <w:p>
      <w:pPr>
        <w:ind w:firstLine="420" w:firstLineChars="200"/>
        <w:rPr>
          <w:bCs/>
          <w:kern w:val="0"/>
          <w:szCs w:val="21"/>
        </w:rPr>
      </w:pPr>
      <w:r>
        <w:rPr>
          <w:bCs/>
          <w:kern w:val="0"/>
          <w:szCs w:val="21"/>
        </w:rPr>
        <w:t>建设性质：新建</w:t>
      </w:r>
    </w:p>
    <w:p>
      <w:pPr>
        <w:ind w:firstLine="420" w:firstLineChars="200"/>
        <w:rPr>
          <w:bCs/>
          <w:kern w:val="0"/>
          <w:szCs w:val="21"/>
        </w:rPr>
      </w:pPr>
      <w:r>
        <w:rPr>
          <w:bCs/>
          <w:kern w:val="0"/>
          <w:szCs w:val="21"/>
        </w:rPr>
        <w:t>建设单位：</w:t>
      </w:r>
      <w:r>
        <w:rPr>
          <w:szCs w:val="21"/>
        </w:rPr>
        <w:t>浙江伟明盛青能源新材料有限公司</w:t>
      </w:r>
    </w:p>
    <w:p>
      <w:pPr>
        <w:ind w:firstLine="420" w:firstLineChars="200"/>
        <w:rPr>
          <w:szCs w:val="21"/>
        </w:rPr>
      </w:pPr>
      <w:r>
        <w:rPr>
          <w:bCs/>
          <w:kern w:val="0"/>
          <w:szCs w:val="21"/>
        </w:rPr>
        <w:t>项</w:t>
      </w:r>
      <w:r>
        <w:rPr>
          <w:szCs w:val="21"/>
        </w:rPr>
        <w:t>目选址：</w:t>
      </w:r>
      <w:r>
        <w:rPr>
          <w:rFonts w:hint="eastAsia"/>
          <w:szCs w:val="21"/>
        </w:rPr>
        <w:t>浙江省温州市龙湾区空港新区围垦区（温州湾新能源科技产业园内）</w:t>
      </w:r>
    </w:p>
    <w:p>
      <w:pPr>
        <w:ind w:firstLine="420" w:firstLineChars="200"/>
        <w:rPr>
          <w:szCs w:val="21"/>
        </w:rPr>
      </w:pPr>
      <w:r>
        <w:rPr>
          <w:szCs w:val="21"/>
        </w:rPr>
        <w:t>总投资额：2227846万元</w:t>
      </w:r>
    </w:p>
    <w:p>
      <w:pPr>
        <w:ind w:firstLine="420" w:firstLineChars="200"/>
        <w:rPr>
          <w:snapToGrid w:val="0"/>
          <w:kern w:val="0"/>
          <w:szCs w:val="21"/>
        </w:rPr>
      </w:pPr>
      <w:r>
        <w:rPr>
          <w:bCs/>
          <w:kern w:val="0"/>
          <w:szCs w:val="21"/>
        </w:rPr>
        <w:t>建设规模：</w:t>
      </w:r>
      <w:r>
        <w:rPr>
          <w:rFonts w:hint="eastAsia"/>
          <w:snapToGrid w:val="0"/>
          <w:kern w:val="0"/>
          <w:szCs w:val="21"/>
        </w:rPr>
        <w:t>建设镍钴精炼单元、三元前驱体制备单元、三元正极材料制备单元，以高冰镍、粗氢氧化钴、硫酸锰、氢氧化锂等为原料年生产20万吨高镍三元正极材料，副产品为海绵铜、铁精矿。</w:t>
      </w:r>
    </w:p>
    <w:p>
      <w:pPr>
        <w:ind w:firstLine="422" w:firstLineChars="200"/>
        <w:rPr>
          <w:b/>
          <w:kern w:val="0"/>
          <w:szCs w:val="21"/>
        </w:rPr>
      </w:pPr>
    </w:p>
    <w:p>
      <w:pPr>
        <w:ind w:firstLine="422" w:firstLineChars="200"/>
        <w:rPr>
          <w:b/>
          <w:kern w:val="0"/>
          <w:szCs w:val="21"/>
        </w:rPr>
      </w:pPr>
      <w:r>
        <w:rPr>
          <w:b/>
          <w:kern w:val="0"/>
          <w:szCs w:val="21"/>
        </w:rPr>
        <w:t>（二）环境影响评价范围内主要环境敏感目标分布情况</w:t>
      </w:r>
    </w:p>
    <w:p>
      <w:pPr>
        <w:jc w:val="center"/>
        <w:rPr>
          <w:bCs/>
          <w:kern w:val="0"/>
          <w:szCs w:val="21"/>
        </w:rPr>
      </w:pPr>
      <w:r>
        <w:rPr>
          <w:bCs/>
          <w:kern w:val="0"/>
          <w:szCs w:val="21"/>
        </w:rPr>
        <w:t>项目主要环境保护目标一览表</w:t>
      </w:r>
    </w:p>
    <w:tbl>
      <w:tblPr>
        <w:tblStyle w:val="5"/>
        <w:tblW w:w="79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9"/>
        <w:gridCol w:w="2699"/>
        <w:gridCol w:w="26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539" w:type="dxa"/>
            <w:tcBorders>
              <w:top w:val="single" w:color="auto" w:sz="4" w:space="0"/>
              <w:left w:val="single" w:color="auto" w:sz="4" w:space="0"/>
            </w:tcBorders>
            <w:vAlign w:val="center"/>
          </w:tcPr>
          <w:p>
            <w:pPr>
              <w:snapToGrid w:val="0"/>
              <w:jc w:val="center"/>
              <w:rPr>
                <w:b/>
                <w:szCs w:val="21"/>
              </w:rPr>
            </w:pPr>
            <w:r>
              <w:rPr>
                <w:b/>
                <w:bCs/>
                <w:szCs w:val="21"/>
              </w:rPr>
              <w:t>保护对象</w:t>
            </w:r>
            <w:r>
              <w:rPr>
                <w:b/>
                <w:szCs w:val="21"/>
              </w:rPr>
              <w:t>名称</w:t>
            </w:r>
          </w:p>
        </w:tc>
        <w:tc>
          <w:tcPr>
            <w:tcW w:w="2699" w:type="dxa"/>
            <w:vAlign w:val="center"/>
          </w:tcPr>
          <w:p>
            <w:pPr>
              <w:snapToGrid w:val="0"/>
              <w:jc w:val="center"/>
              <w:rPr>
                <w:b/>
                <w:bCs/>
                <w:szCs w:val="21"/>
              </w:rPr>
            </w:pPr>
            <w:r>
              <w:rPr>
                <w:rFonts w:hint="eastAsia"/>
                <w:b/>
                <w:bCs/>
                <w:szCs w:val="21"/>
              </w:rPr>
              <w:t>相对厂址</w:t>
            </w:r>
            <w:r>
              <w:rPr>
                <w:b/>
                <w:bCs/>
                <w:szCs w:val="21"/>
              </w:rPr>
              <w:t>方位</w:t>
            </w:r>
          </w:p>
        </w:tc>
        <w:tc>
          <w:tcPr>
            <w:tcW w:w="2699" w:type="dxa"/>
            <w:vAlign w:val="center"/>
          </w:tcPr>
          <w:p>
            <w:pPr>
              <w:snapToGrid w:val="0"/>
              <w:jc w:val="center"/>
              <w:rPr>
                <w:b/>
                <w:bCs/>
                <w:szCs w:val="21"/>
              </w:rPr>
            </w:pPr>
            <w:r>
              <w:rPr>
                <w:b/>
                <w:bCs/>
                <w:szCs w:val="21"/>
              </w:rPr>
              <w:t>厂界距离(</w:t>
            </w:r>
            <w:r>
              <w:rPr>
                <w:szCs w:val="21"/>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539" w:type="dxa"/>
            <w:tcBorders>
              <w:left w:val="single" w:color="auto" w:sz="4" w:space="0"/>
            </w:tcBorders>
            <w:vAlign w:val="center"/>
          </w:tcPr>
          <w:p>
            <w:pPr>
              <w:widowControl/>
              <w:autoSpaceDE w:val="0"/>
              <w:autoSpaceDN w:val="0"/>
              <w:snapToGrid w:val="0"/>
              <w:jc w:val="center"/>
              <w:rPr>
                <w:rFonts w:eastAsiaTheme="minorEastAsia"/>
                <w:szCs w:val="21"/>
              </w:rPr>
            </w:pPr>
            <w:r>
              <w:rPr>
                <w:rFonts w:eastAsiaTheme="minorEastAsia"/>
                <w:szCs w:val="21"/>
              </w:rPr>
              <w:t>五溪村</w:t>
            </w:r>
          </w:p>
        </w:tc>
        <w:tc>
          <w:tcPr>
            <w:tcW w:w="2699" w:type="dxa"/>
            <w:vAlign w:val="center"/>
          </w:tcPr>
          <w:p>
            <w:pPr>
              <w:widowControl/>
              <w:autoSpaceDE w:val="0"/>
              <w:autoSpaceDN w:val="0"/>
              <w:snapToGrid w:val="0"/>
              <w:jc w:val="center"/>
              <w:rPr>
                <w:rFonts w:eastAsiaTheme="minorEastAsia"/>
                <w:szCs w:val="21"/>
              </w:rPr>
            </w:pPr>
            <w:r>
              <w:rPr>
                <w:rFonts w:hint="eastAsia" w:eastAsiaTheme="minorEastAsia"/>
                <w:szCs w:val="21"/>
              </w:rPr>
              <w:t>西</w:t>
            </w:r>
          </w:p>
        </w:tc>
        <w:tc>
          <w:tcPr>
            <w:tcW w:w="2699" w:type="dxa"/>
            <w:vAlign w:val="center"/>
          </w:tcPr>
          <w:p>
            <w:pPr>
              <w:widowControl/>
              <w:autoSpaceDE w:val="0"/>
              <w:autoSpaceDN w:val="0"/>
              <w:snapToGrid w:val="0"/>
              <w:jc w:val="center"/>
              <w:rPr>
                <w:rFonts w:eastAsia="仿宋"/>
                <w:color w:val="000000"/>
                <w:kern w:val="0"/>
                <w:szCs w:val="21"/>
              </w:rPr>
            </w:pPr>
            <w:r>
              <w:rPr>
                <w:rFonts w:eastAsia="仿宋"/>
                <w:color w:val="000000"/>
                <w:kern w:val="0"/>
                <w:szCs w:val="21"/>
              </w:rPr>
              <w:t>950m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539" w:type="dxa"/>
            <w:tcBorders>
              <w:left w:val="single" w:color="auto" w:sz="4" w:space="0"/>
            </w:tcBorders>
            <w:vAlign w:val="center"/>
          </w:tcPr>
          <w:p>
            <w:pPr>
              <w:widowControl/>
              <w:autoSpaceDE w:val="0"/>
              <w:autoSpaceDN w:val="0"/>
              <w:snapToGrid w:val="0"/>
              <w:jc w:val="center"/>
              <w:rPr>
                <w:rFonts w:eastAsiaTheme="minorEastAsia"/>
                <w:szCs w:val="21"/>
              </w:rPr>
            </w:pPr>
            <w:r>
              <w:rPr>
                <w:rFonts w:eastAsiaTheme="minorEastAsia"/>
                <w:szCs w:val="21"/>
              </w:rPr>
              <w:t>北园社区居委会</w:t>
            </w:r>
          </w:p>
        </w:tc>
        <w:tc>
          <w:tcPr>
            <w:tcW w:w="2699" w:type="dxa"/>
            <w:vAlign w:val="center"/>
          </w:tcPr>
          <w:p>
            <w:pPr>
              <w:widowControl/>
              <w:autoSpaceDE w:val="0"/>
              <w:autoSpaceDN w:val="0"/>
              <w:snapToGrid w:val="0"/>
              <w:jc w:val="center"/>
              <w:rPr>
                <w:rFonts w:eastAsiaTheme="minorEastAsia"/>
                <w:szCs w:val="21"/>
              </w:rPr>
            </w:pPr>
            <w:r>
              <w:rPr>
                <w:rFonts w:hint="eastAsia" w:eastAsiaTheme="minorEastAsia"/>
                <w:szCs w:val="21"/>
              </w:rPr>
              <w:t>西南</w:t>
            </w:r>
          </w:p>
        </w:tc>
        <w:tc>
          <w:tcPr>
            <w:tcW w:w="2699" w:type="dxa"/>
            <w:vAlign w:val="center"/>
          </w:tcPr>
          <w:p>
            <w:pPr>
              <w:widowControl/>
              <w:autoSpaceDE w:val="0"/>
              <w:autoSpaceDN w:val="0"/>
              <w:snapToGrid w:val="0"/>
              <w:jc w:val="center"/>
              <w:rPr>
                <w:rFonts w:eastAsia="仿宋"/>
                <w:color w:val="000000"/>
                <w:kern w:val="0"/>
                <w:szCs w:val="21"/>
              </w:rPr>
            </w:pPr>
            <w:r>
              <w:rPr>
                <w:rFonts w:eastAsia="仿宋"/>
                <w:color w:val="000000"/>
                <w:kern w:val="0"/>
                <w:szCs w:val="21"/>
              </w:rPr>
              <w:t>1900m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539" w:type="dxa"/>
            <w:tcBorders>
              <w:left w:val="single" w:color="auto" w:sz="4" w:space="0"/>
            </w:tcBorders>
            <w:vAlign w:val="center"/>
          </w:tcPr>
          <w:p>
            <w:pPr>
              <w:widowControl/>
              <w:autoSpaceDE w:val="0"/>
              <w:autoSpaceDN w:val="0"/>
              <w:snapToGrid w:val="0"/>
              <w:jc w:val="center"/>
              <w:rPr>
                <w:rFonts w:eastAsiaTheme="minorEastAsia"/>
                <w:szCs w:val="21"/>
              </w:rPr>
            </w:pPr>
            <w:r>
              <w:rPr>
                <w:rFonts w:eastAsiaTheme="minorEastAsia"/>
                <w:szCs w:val="21"/>
              </w:rPr>
              <w:t>金海社区居委会</w:t>
            </w:r>
          </w:p>
        </w:tc>
        <w:tc>
          <w:tcPr>
            <w:tcW w:w="2699" w:type="dxa"/>
            <w:vAlign w:val="center"/>
          </w:tcPr>
          <w:p>
            <w:pPr>
              <w:widowControl/>
              <w:autoSpaceDE w:val="0"/>
              <w:autoSpaceDN w:val="0"/>
              <w:snapToGrid w:val="0"/>
              <w:jc w:val="center"/>
              <w:rPr>
                <w:rFonts w:eastAsiaTheme="minorEastAsia"/>
                <w:szCs w:val="21"/>
              </w:rPr>
            </w:pPr>
            <w:r>
              <w:rPr>
                <w:rFonts w:hint="eastAsia" w:eastAsiaTheme="minorEastAsia"/>
                <w:szCs w:val="21"/>
              </w:rPr>
              <w:t>西南</w:t>
            </w:r>
          </w:p>
        </w:tc>
        <w:tc>
          <w:tcPr>
            <w:tcW w:w="2699" w:type="dxa"/>
            <w:vAlign w:val="center"/>
          </w:tcPr>
          <w:p>
            <w:pPr>
              <w:widowControl/>
              <w:autoSpaceDE w:val="0"/>
              <w:autoSpaceDN w:val="0"/>
              <w:snapToGrid w:val="0"/>
              <w:jc w:val="center"/>
              <w:rPr>
                <w:rFonts w:eastAsia="仿宋"/>
                <w:color w:val="000000"/>
                <w:kern w:val="0"/>
                <w:szCs w:val="21"/>
              </w:rPr>
            </w:pPr>
            <w:r>
              <w:rPr>
                <w:rFonts w:eastAsia="仿宋"/>
                <w:color w:val="000000"/>
                <w:kern w:val="0"/>
                <w:szCs w:val="21"/>
              </w:rPr>
              <w:t>2870m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539" w:type="dxa"/>
            <w:tcBorders>
              <w:left w:val="single" w:color="auto" w:sz="4" w:space="0"/>
            </w:tcBorders>
            <w:vAlign w:val="center"/>
          </w:tcPr>
          <w:p>
            <w:pPr>
              <w:widowControl/>
              <w:autoSpaceDE w:val="0"/>
              <w:autoSpaceDN w:val="0"/>
              <w:snapToGrid w:val="0"/>
              <w:jc w:val="center"/>
              <w:rPr>
                <w:rFonts w:eastAsiaTheme="minorEastAsia"/>
                <w:szCs w:val="21"/>
              </w:rPr>
            </w:pPr>
            <w:r>
              <w:rPr>
                <w:rFonts w:eastAsiaTheme="minorEastAsia"/>
                <w:szCs w:val="21"/>
              </w:rPr>
              <w:t>南园社区居委会</w:t>
            </w:r>
          </w:p>
        </w:tc>
        <w:tc>
          <w:tcPr>
            <w:tcW w:w="2699" w:type="dxa"/>
            <w:vAlign w:val="center"/>
          </w:tcPr>
          <w:p>
            <w:pPr>
              <w:widowControl/>
              <w:autoSpaceDE w:val="0"/>
              <w:autoSpaceDN w:val="0"/>
              <w:snapToGrid w:val="0"/>
              <w:jc w:val="center"/>
              <w:rPr>
                <w:rFonts w:eastAsiaTheme="minorEastAsia"/>
                <w:szCs w:val="21"/>
              </w:rPr>
            </w:pPr>
            <w:r>
              <w:rPr>
                <w:rFonts w:hint="eastAsia" w:eastAsiaTheme="minorEastAsia"/>
                <w:szCs w:val="21"/>
              </w:rPr>
              <w:t>西南</w:t>
            </w:r>
          </w:p>
        </w:tc>
        <w:tc>
          <w:tcPr>
            <w:tcW w:w="2699" w:type="dxa"/>
            <w:vAlign w:val="center"/>
          </w:tcPr>
          <w:p>
            <w:pPr>
              <w:widowControl/>
              <w:autoSpaceDE w:val="0"/>
              <w:autoSpaceDN w:val="0"/>
              <w:snapToGrid w:val="0"/>
              <w:jc w:val="center"/>
              <w:rPr>
                <w:rFonts w:eastAsia="仿宋"/>
                <w:color w:val="000000"/>
                <w:kern w:val="0"/>
                <w:szCs w:val="21"/>
              </w:rPr>
            </w:pPr>
            <w:r>
              <w:rPr>
                <w:rFonts w:eastAsia="仿宋"/>
                <w:color w:val="000000"/>
                <w:kern w:val="0"/>
                <w:szCs w:val="21"/>
              </w:rPr>
              <w:t>3420m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539" w:type="dxa"/>
            <w:tcBorders>
              <w:left w:val="single" w:color="auto" w:sz="4" w:space="0"/>
            </w:tcBorders>
            <w:vAlign w:val="center"/>
          </w:tcPr>
          <w:p>
            <w:pPr>
              <w:widowControl/>
              <w:autoSpaceDE w:val="0"/>
              <w:autoSpaceDN w:val="0"/>
              <w:snapToGrid w:val="0"/>
              <w:jc w:val="center"/>
              <w:rPr>
                <w:rFonts w:eastAsiaTheme="minorEastAsia"/>
                <w:szCs w:val="21"/>
              </w:rPr>
            </w:pPr>
            <w:r>
              <w:rPr>
                <w:rFonts w:eastAsiaTheme="minorEastAsia"/>
                <w:szCs w:val="21"/>
              </w:rPr>
              <w:t>建新村</w:t>
            </w:r>
          </w:p>
        </w:tc>
        <w:tc>
          <w:tcPr>
            <w:tcW w:w="2699" w:type="dxa"/>
            <w:vAlign w:val="center"/>
          </w:tcPr>
          <w:p>
            <w:pPr>
              <w:widowControl/>
              <w:autoSpaceDE w:val="0"/>
              <w:autoSpaceDN w:val="0"/>
              <w:snapToGrid w:val="0"/>
              <w:jc w:val="center"/>
              <w:rPr>
                <w:rFonts w:eastAsiaTheme="minorEastAsia"/>
                <w:szCs w:val="21"/>
              </w:rPr>
            </w:pPr>
            <w:r>
              <w:rPr>
                <w:rFonts w:hint="eastAsia" w:eastAsiaTheme="minorEastAsia"/>
                <w:szCs w:val="21"/>
              </w:rPr>
              <w:t>西北</w:t>
            </w:r>
          </w:p>
        </w:tc>
        <w:tc>
          <w:tcPr>
            <w:tcW w:w="2699" w:type="dxa"/>
            <w:vAlign w:val="center"/>
          </w:tcPr>
          <w:p>
            <w:pPr>
              <w:widowControl/>
              <w:autoSpaceDE w:val="0"/>
              <w:autoSpaceDN w:val="0"/>
              <w:snapToGrid w:val="0"/>
              <w:jc w:val="center"/>
              <w:rPr>
                <w:rFonts w:eastAsia="仿宋"/>
                <w:color w:val="000000"/>
                <w:kern w:val="0"/>
                <w:szCs w:val="21"/>
              </w:rPr>
            </w:pPr>
            <w:r>
              <w:rPr>
                <w:rFonts w:eastAsia="仿宋"/>
                <w:color w:val="000000"/>
                <w:kern w:val="0"/>
                <w:szCs w:val="21"/>
              </w:rPr>
              <w:t>3950m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539" w:type="dxa"/>
            <w:tcBorders>
              <w:left w:val="single" w:color="auto" w:sz="4" w:space="0"/>
            </w:tcBorders>
            <w:vAlign w:val="center"/>
          </w:tcPr>
          <w:p>
            <w:pPr>
              <w:widowControl/>
              <w:autoSpaceDE w:val="0"/>
              <w:autoSpaceDN w:val="0"/>
              <w:snapToGrid w:val="0"/>
              <w:jc w:val="center"/>
              <w:rPr>
                <w:rFonts w:eastAsiaTheme="minorEastAsia"/>
                <w:szCs w:val="21"/>
              </w:rPr>
            </w:pPr>
            <w:r>
              <w:rPr>
                <w:rFonts w:eastAsiaTheme="minorEastAsia"/>
                <w:szCs w:val="21"/>
              </w:rPr>
              <w:t>沙中村</w:t>
            </w:r>
          </w:p>
        </w:tc>
        <w:tc>
          <w:tcPr>
            <w:tcW w:w="2699" w:type="dxa"/>
            <w:vAlign w:val="center"/>
          </w:tcPr>
          <w:p>
            <w:pPr>
              <w:widowControl/>
              <w:autoSpaceDE w:val="0"/>
              <w:autoSpaceDN w:val="0"/>
              <w:snapToGrid w:val="0"/>
              <w:jc w:val="center"/>
              <w:rPr>
                <w:rFonts w:eastAsiaTheme="minorEastAsia"/>
                <w:szCs w:val="21"/>
              </w:rPr>
            </w:pPr>
            <w:r>
              <w:rPr>
                <w:rFonts w:hint="eastAsia" w:eastAsiaTheme="minorEastAsia"/>
                <w:szCs w:val="21"/>
              </w:rPr>
              <w:t>西北</w:t>
            </w:r>
          </w:p>
        </w:tc>
        <w:tc>
          <w:tcPr>
            <w:tcW w:w="2699" w:type="dxa"/>
            <w:vAlign w:val="center"/>
          </w:tcPr>
          <w:p>
            <w:pPr>
              <w:widowControl/>
              <w:autoSpaceDE w:val="0"/>
              <w:autoSpaceDN w:val="0"/>
              <w:snapToGrid w:val="0"/>
              <w:jc w:val="center"/>
              <w:rPr>
                <w:rFonts w:eastAsia="仿宋"/>
                <w:color w:val="000000"/>
                <w:kern w:val="0"/>
                <w:szCs w:val="21"/>
              </w:rPr>
            </w:pPr>
            <w:r>
              <w:rPr>
                <w:rFonts w:eastAsia="仿宋"/>
                <w:color w:val="000000"/>
                <w:kern w:val="0"/>
                <w:szCs w:val="21"/>
              </w:rPr>
              <w:t>4008m</w:t>
            </w:r>
          </w:p>
        </w:tc>
      </w:tr>
    </w:tbl>
    <w:p>
      <w:pPr>
        <w:ind w:firstLine="422" w:firstLineChars="200"/>
        <w:rPr>
          <w:b/>
          <w:kern w:val="0"/>
          <w:szCs w:val="21"/>
        </w:rPr>
      </w:pPr>
    </w:p>
    <w:p>
      <w:pPr>
        <w:ind w:firstLine="422" w:firstLineChars="200"/>
        <w:rPr>
          <w:b/>
          <w:kern w:val="0"/>
          <w:szCs w:val="21"/>
        </w:rPr>
      </w:pPr>
      <w:r>
        <w:rPr>
          <w:b/>
          <w:kern w:val="0"/>
          <w:szCs w:val="21"/>
        </w:rPr>
        <w:t>（三）主要环境影响预测情况</w:t>
      </w:r>
    </w:p>
    <w:p>
      <w:pPr>
        <w:ind w:firstLine="420" w:firstLineChars="200"/>
        <w:rPr>
          <w:bCs/>
          <w:kern w:val="0"/>
          <w:szCs w:val="21"/>
        </w:rPr>
      </w:pPr>
      <w:r>
        <w:rPr>
          <w:bCs/>
          <w:kern w:val="0"/>
          <w:szCs w:val="21"/>
        </w:rPr>
        <w:t>水环境：</w:t>
      </w:r>
      <w:r>
        <w:rPr>
          <w:rFonts w:hint="eastAsia"/>
          <w:bCs/>
          <w:kern w:val="0"/>
          <w:szCs w:val="21"/>
        </w:rPr>
        <w:t>厂区内的</w:t>
      </w:r>
      <w:r>
        <w:rPr>
          <w:rFonts w:hint="eastAsia"/>
          <w:szCs w:val="21"/>
        </w:rPr>
        <w:t>生活污水经预处理后达到《污水综合排放标准》（GB8978-1996）三级标准，纳入市政污水管网进入东片污水处理厂，经东片污水处理厂处理达到《城镇污水处理厂主要水污染物排放标准》（DB33/2169-2018），未涉及指标执行《城镇污水处理厂污染物排放标准》（GB18918-2002）一级A标准，排入瓯江口附近四类海域；生产废水经厂区废水处理设施自行处理达到《无机化学工业污染物排放标准》（GB31573-2015）表1水污染物直接排放限值后，经专用废水管道接管至东片污水处理厂的尾管排入瓯江口附近四类海域。项目所采取的水污染控制和水环境影响减缓措施可行有效，可确保废水达标排放；根据预测结果，对受纳海域水质影响较小，对周边水环境保护目标影响极小。项目排水方案在排污口选择、总量控制、区域环境质量改善、水环境功能区、水环境保护目标、水环境控制断面水质达标等方面具有环境合理性，符合区域“三线一单”的管控要求。因此，项目废水排放方案具有环境可行性，项目地表水环境影响可以接受。</w:t>
      </w:r>
    </w:p>
    <w:p>
      <w:pPr>
        <w:ind w:firstLine="420" w:firstLineChars="200"/>
        <w:rPr>
          <w:bCs/>
          <w:kern w:val="0"/>
          <w:szCs w:val="21"/>
          <w:u w:val="none" w:color="auto"/>
        </w:rPr>
      </w:pPr>
      <w:r>
        <w:rPr>
          <w:bCs/>
          <w:kern w:val="0"/>
          <w:szCs w:val="21"/>
        </w:rPr>
        <w:t>大气环境：</w:t>
      </w:r>
      <w:r>
        <w:rPr>
          <w:rFonts w:hint="eastAsia"/>
          <w:bCs/>
          <w:kern w:val="0"/>
          <w:szCs w:val="21"/>
        </w:rPr>
        <w:t>项目所在区域环境空</w:t>
      </w:r>
      <w:r>
        <w:rPr>
          <w:rFonts w:hint="eastAsia"/>
          <w:bCs/>
          <w:kern w:val="0"/>
          <w:szCs w:val="21"/>
          <w:u w:val="none" w:color="auto"/>
        </w:rPr>
        <w:t>气质量为达标区，项目新增污染源正常排放下污染物短期浓度贡献值的最大浓度占标率≤100%，年均浓度贡献值的最大浓度占标率均小于30%；叠加现状浓度后符合环境质量标准。项目大气污染物在切实落实废气处理措施的基础上，对周边大气环境影响不大，本项目大气环境影响可以接受。</w:t>
      </w:r>
    </w:p>
    <w:p>
      <w:pPr>
        <w:ind w:firstLine="420" w:firstLineChars="200"/>
        <w:rPr>
          <w:bCs/>
          <w:kern w:val="0"/>
          <w:szCs w:val="21"/>
          <w:u w:val="none" w:color="auto"/>
        </w:rPr>
      </w:pPr>
      <w:r>
        <w:rPr>
          <w:bCs/>
          <w:kern w:val="0"/>
          <w:szCs w:val="21"/>
          <w:u w:val="none" w:color="auto"/>
        </w:rPr>
        <w:t>声环境：根据噪声预测结果显示，本项目完成后厂界能满足声环境质量要求。</w:t>
      </w:r>
    </w:p>
    <w:p>
      <w:pPr>
        <w:ind w:firstLine="420" w:firstLineChars="200"/>
        <w:rPr>
          <w:bCs/>
          <w:kern w:val="0"/>
          <w:szCs w:val="21"/>
          <w:u w:val="none" w:color="auto"/>
        </w:rPr>
      </w:pPr>
      <w:r>
        <w:rPr>
          <w:bCs/>
          <w:kern w:val="0"/>
          <w:szCs w:val="21"/>
          <w:u w:val="none" w:color="auto"/>
        </w:rPr>
        <w:t>地下水环境：企业在落实地下水污染防治措施之后，在正常状况下，不会有污水渗漏至地下水的情景发生。而在事故状态下，则有可能发生物料和废水的渗漏或泄漏，防渗措施破坏等现象。经地下水影响预测计算，如果及时采取措施，项目投产后事故性泄漏对地下水环境的影响范围限于污染源附近的较小范围内，对周边地下水环境造成的影响程度有限，处于可接受水平。</w:t>
      </w:r>
    </w:p>
    <w:p>
      <w:pPr>
        <w:ind w:firstLine="420" w:firstLineChars="200"/>
        <w:rPr>
          <w:bCs/>
          <w:kern w:val="0"/>
          <w:szCs w:val="21"/>
          <w:u w:val="none" w:color="auto"/>
        </w:rPr>
      </w:pPr>
      <w:r>
        <w:rPr>
          <w:bCs/>
          <w:kern w:val="0"/>
          <w:szCs w:val="21"/>
          <w:u w:val="none" w:color="auto"/>
        </w:rPr>
        <w:t>土壤环境：项目运营期间，本项目排放的废气污染物经过大气沉降进入土壤的含量很低，不会对土壤环境产生明显影响。事故状</w:t>
      </w:r>
      <w:bookmarkStart w:id="0" w:name="_GoBack"/>
      <w:bookmarkEnd w:id="0"/>
      <w:r>
        <w:rPr>
          <w:bCs/>
          <w:kern w:val="0"/>
          <w:szCs w:val="21"/>
          <w:u w:val="none" w:color="auto"/>
        </w:rPr>
        <w:t>况下，液态物料、废水通过地面漫流、垂直渗入等形式输入周边土壤，可能会对局部土壤造成不良环境影响，受污染的场地范围基本可以控制在厂区内部。因此，企业须加强管理，杜绝非正常工况发生，发生污染情况后应及时对污染地块进行治理。项目运营期采取分区防渗等措施后，能有效降低对土壤污染影响。在落实土壤保护措施的前提下，项目建设对厂区及周边土壤环境的影响可接受。</w:t>
      </w:r>
    </w:p>
    <w:p>
      <w:pPr>
        <w:ind w:firstLine="420" w:firstLineChars="200"/>
        <w:rPr>
          <w:szCs w:val="21"/>
        </w:rPr>
      </w:pPr>
      <w:r>
        <w:rPr>
          <w:bCs/>
          <w:kern w:val="0"/>
          <w:szCs w:val="21"/>
          <w:u w:val="none" w:color="auto"/>
        </w:rPr>
        <w:t>环境风险：</w:t>
      </w:r>
      <w:r>
        <w:rPr>
          <w:szCs w:val="21"/>
          <w:u w:val="none" w:color="auto"/>
        </w:rPr>
        <w:t>项目涉及的主要环境风险物质为</w:t>
      </w:r>
      <w:r>
        <w:rPr>
          <w:rFonts w:hint="eastAsia"/>
          <w:szCs w:val="21"/>
          <w:u w:val="none" w:color="auto"/>
        </w:rPr>
        <w:t>镍及其化合物、锰及其化合物、氨水、硫酸、盐酸、双氧水、轻质白油等以及次生一氧化碳等</w:t>
      </w:r>
      <w:r>
        <w:rPr>
          <w:szCs w:val="21"/>
          <w:u w:val="none" w:color="auto"/>
        </w:rPr>
        <w:t>，主要分布在厂区</w:t>
      </w:r>
      <w:r>
        <w:rPr>
          <w:rFonts w:hint="eastAsia"/>
          <w:szCs w:val="21"/>
          <w:u w:val="none" w:color="auto"/>
        </w:rPr>
        <w:t>生产车间以及</w:t>
      </w:r>
      <w:r>
        <w:rPr>
          <w:szCs w:val="21"/>
          <w:u w:val="none" w:color="auto"/>
        </w:rPr>
        <w:t>罐区，</w:t>
      </w:r>
      <w:r>
        <w:rPr>
          <w:rFonts w:hint="eastAsia"/>
          <w:szCs w:val="21"/>
          <w:u w:val="none" w:color="auto"/>
        </w:rPr>
        <w:t>可能引发环境事故</w:t>
      </w:r>
      <w:r>
        <w:rPr>
          <w:szCs w:val="21"/>
          <w:u w:val="none" w:color="auto"/>
        </w:rPr>
        <w:t>。本项</w:t>
      </w:r>
      <w:r>
        <w:rPr>
          <w:szCs w:val="21"/>
        </w:rPr>
        <w:t>目加强风险防范管理，按照要求完善风险防范措施，制定有效的应急预案，能够有效的降低事故风险的发生和影响后果。在建设单位有效落实本次评价提出的各项事故防范措施及应急预案的前提下，项目的环境风险是可以接受的。</w:t>
      </w:r>
    </w:p>
    <w:p>
      <w:pPr>
        <w:ind w:firstLine="422" w:firstLineChars="200"/>
        <w:rPr>
          <w:b/>
          <w:kern w:val="0"/>
          <w:szCs w:val="21"/>
        </w:rPr>
      </w:pPr>
    </w:p>
    <w:p>
      <w:pPr>
        <w:ind w:firstLine="422" w:firstLineChars="200"/>
        <w:rPr>
          <w:b/>
          <w:kern w:val="0"/>
          <w:szCs w:val="21"/>
        </w:rPr>
      </w:pPr>
      <w:r>
        <w:rPr>
          <w:b/>
          <w:kern w:val="0"/>
          <w:szCs w:val="21"/>
        </w:rPr>
        <w:t>（四）拟采取的主要环境保护措施、环境风险防范措施及预期效果</w:t>
      </w:r>
    </w:p>
    <w:p>
      <w:pPr>
        <w:widowControl/>
        <w:ind w:firstLine="420" w:firstLineChars="200"/>
        <w:rPr>
          <w:szCs w:val="21"/>
        </w:rPr>
      </w:pPr>
      <w:r>
        <w:rPr>
          <w:szCs w:val="21"/>
        </w:rPr>
        <w:t>废水：项目的各类废水根据其产生来源、性质，分类进行收集。</w:t>
      </w:r>
      <w:r>
        <w:rPr>
          <w:rFonts w:hint="eastAsia"/>
          <w:szCs w:val="21"/>
        </w:rPr>
        <w:t>生产废水经厂区废水处理设施自行处理达到《无机化学工业污染物排放标准》（GB31573-2015）表1水污染物直接排放限值后外排；生活污水单独收集，经化粪池预处理后纳管排放。</w:t>
      </w:r>
    </w:p>
    <w:p>
      <w:pPr>
        <w:widowControl/>
        <w:ind w:firstLine="420" w:firstLineChars="200"/>
        <w:rPr>
          <w:szCs w:val="21"/>
        </w:rPr>
      </w:pPr>
      <w:r>
        <w:rPr>
          <w:szCs w:val="21"/>
        </w:rPr>
        <w:t>废气：</w:t>
      </w:r>
      <w:r>
        <w:rPr>
          <w:rFonts w:hint="eastAsia"/>
          <w:szCs w:val="21"/>
        </w:rPr>
        <w:t>镍、钴原料浸出废气经两级碱液喷淋处理后排放；镍、钴萃取废气经两级碱液喷淋+活性炭吸附处理后排放；前驱体合成氨气和氨回收废气经两级酸液喷淋处理后排放；前驱体粉尘经布袋除尘和水雾除尘处理后排放；正材粉尘经旋风除尘和两级布袋除尘处理后排放；储罐装卸采用平衡管，设置呼吸阀；食堂油烟经油烟净化器处理后屋顶排放。</w:t>
      </w:r>
    </w:p>
    <w:p>
      <w:pPr>
        <w:widowControl/>
        <w:ind w:firstLine="420" w:firstLineChars="200"/>
        <w:rPr>
          <w:szCs w:val="21"/>
        </w:rPr>
      </w:pPr>
      <w:r>
        <w:rPr>
          <w:szCs w:val="21"/>
        </w:rPr>
        <w:t>噪声：项目新增噪声源主要包括</w:t>
      </w:r>
      <w:r>
        <w:rPr>
          <w:rFonts w:hint="eastAsia"/>
          <w:szCs w:val="21"/>
        </w:rPr>
        <w:t>浸出槽、过滤器、干燥机、筛分机、破碎机、空压机、各类风机和机泵</w:t>
      </w:r>
      <w:r>
        <w:rPr>
          <w:szCs w:val="21"/>
        </w:rPr>
        <w:t>等。</w:t>
      </w:r>
      <w:r>
        <w:rPr>
          <w:rFonts w:hint="eastAsia"/>
          <w:szCs w:val="21"/>
        </w:rPr>
        <w:t>本项目进行</w:t>
      </w:r>
      <w:r>
        <w:rPr>
          <w:szCs w:val="21"/>
        </w:rPr>
        <w:t>合理设计与布局，选用低噪声设备，将高噪声设备放置于室内，采取基础减振措施、对强噪声部位采用密闭隔声以及对声源进行减振处理，厂内进行合理绿化等。经一系列经济有效的降噪措施，再经距离衰减，项目运行期厂界噪声达标排放。</w:t>
      </w:r>
    </w:p>
    <w:p>
      <w:pPr>
        <w:widowControl/>
        <w:ind w:firstLine="420" w:firstLineChars="200"/>
        <w:rPr>
          <w:szCs w:val="21"/>
        </w:rPr>
      </w:pPr>
      <w:r>
        <w:rPr>
          <w:szCs w:val="21"/>
        </w:rPr>
        <w:t>固体废弃物：项目产生的固体废物包括</w:t>
      </w:r>
      <w:r>
        <w:rPr>
          <w:rFonts w:hint="eastAsia"/>
          <w:szCs w:val="21"/>
        </w:rPr>
        <w:t>一般工业固体废物、危险废物和生活垃圾等</w:t>
      </w:r>
      <w:r>
        <w:rPr>
          <w:szCs w:val="21"/>
        </w:rPr>
        <w:t>。各类固体废物分类收集和储存，危险废物委托具备相应处理资质的危废处置单位处理；</w:t>
      </w:r>
      <w:r>
        <w:rPr>
          <w:rFonts w:hint="eastAsia"/>
          <w:szCs w:val="21"/>
        </w:rPr>
        <w:t>一般工业固体废物委托外单位回收综合利用；</w:t>
      </w:r>
      <w:r>
        <w:rPr>
          <w:szCs w:val="21"/>
        </w:rPr>
        <w:t>生活垃圾交由当地环卫清运处理。项目的固体废物处置率达到100%，不外排。</w:t>
      </w:r>
    </w:p>
    <w:p>
      <w:pPr>
        <w:widowControl/>
        <w:ind w:firstLine="420" w:firstLineChars="200"/>
        <w:rPr>
          <w:szCs w:val="21"/>
        </w:rPr>
      </w:pPr>
      <w:r>
        <w:rPr>
          <w:szCs w:val="21"/>
        </w:rPr>
        <w:t>土壤和地下水：分区防渗，对</w:t>
      </w:r>
      <w:r>
        <w:rPr>
          <w:rFonts w:hint="eastAsia"/>
          <w:szCs w:val="21"/>
        </w:rPr>
        <w:t>生产</w:t>
      </w:r>
      <w:r>
        <w:rPr>
          <w:szCs w:val="21"/>
        </w:rPr>
        <w:t>车间</w:t>
      </w:r>
      <w:r>
        <w:rPr>
          <w:rFonts w:hint="eastAsia"/>
          <w:szCs w:val="21"/>
        </w:rPr>
        <w:t>、</w:t>
      </w:r>
      <w:r>
        <w:rPr>
          <w:szCs w:val="21"/>
        </w:rPr>
        <w:t>储罐区、仓库、事故池、初雨池和废水处理设施等地面均进行防渗处理；废水全部通过耐腐蚀管路收集和排放；储罐区设置围堰，装卸区</w:t>
      </w:r>
      <w:r>
        <w:rPr>
          <w:rFonts w:hint="eastAsia"/>
          <w:szCs w:val="21"/>
        </w:rPr>
        <w:t>、</w:t>
      </w:r>
      <w:r>
        <w:rPr>
          <w:szCs w:val="21"/>
        </w:rPr>
        <w:t>车间和仓库等四周设置收集沟。</w:t>
      </w:r>
    </w:p>
    <w:p>
      <w:pPr>
        <w:widowControl/>
        <w:ind w:firstLine="420" w:firstLineChars="200"/>
        <w:rPr>
          <w:szCs w:val="21"/>
        </w:rPr>
      </w:pPr>
      <w:r>
        <w:rPr>
          <w:szCs w:val="21"/>
        </w:rPr>
        <w:t>环境风险：火灾、爆炸事故防范措施、储罐泄露事故防范措施、事故废水风险防范措施、突发环境应急预案等。</w:t>
      </w:r>
    </w:p>
    <w:p>
      <w:pPr>
        <w:widowControl/>
        <w:ind w:firstLine="420" w:firstLineChars="200"/>
        <w:rPr>
          <w:szCs w:val="21"/>
        </w:rPr>
      </w:pPr>
      <w:r>
        <w:rPr>
          <w:szCs w:val="21"/>
        </w:rPr>
        <w:t>通过以上措施保障后，污染物可实现达标排放。</w:t>
      </w:r>
    </w:p>
    <w:p>
      <w:pPr>
        <w:ind w:firstLine="422" w:firstLineChars="200"/>
        <w:rPr>
          <w:b/>
          <w:kern w:val="0"/>
          <w:szCs w:val="21"/>
        </w:rPr>
      </w:pPr>
    </w:p>
    <w:p>
      <w:pPr>
        <w:ind w:firstLine="422" w:firstLineChars="200"/>
        <w:rPr>
          <w:b/>
          <w:kern w:val="0"/>
          <w:szCs w:val="21"/>
        </w:rPr>
      </w:pPr>
      <w:r>
        <w:rPr>
          <w:b/>
          <w:kern w:val="0"/>
          <w:szCs w:val="21"/>
        </w:rPr>
        <w:t>（五）环境影响评价初步结论</w:t>
      </w:r>
    </w:p>
    <w:p>
      <w:pPr>
        <w:ind w:firstLine="420" w:firstLineChars="200"/>
        <w:rPr>
          <w:bCs/>
          <w:kern w:val="0"/>
          <w:szCs w:val="21"/>
        </w:rPr>
      </w:pPr>
      <w:r>
        <w:rPr>
          <w:rFonts w:hint="eastAsia"/>
          <w:bCs/>
          <w:kern w:val="0"/>
          <w:szCs w:val="21"/>
        </w:rPr>
        <w:t>浙江伟明盛青能源新材料有限公司温州锂电池新材料产业基地项目拟选址位于浙江省温州市龙湾区空港新区围垦区（温州湾新能源科技产业园内），项目建设符合环境功能区划、城市总体规划要求，与周围环境相协调。项目符合生态保护红线、环境质量底线、资源利用上线要求，符合生态环境准入清单要求；项目符合当前的产业政策，满足总量控制要求，针对废气、废水、噪声和固体废物采取的环保措施切实可行、有效，污染物能做到达标排放，固体废物全部进行有效处置；项目对周围的大气、声环境、地表水及土壤地下水质量的影响很小，不会降低区域的环境现状等级；在有效落实事故防范措施后，项目环境风险处于可以接受的水平。建设单位在切实落实项目环评报告中提出的环保措施和风险防控措施的前提下，从环境影响角度分析，项目的建设是可行的。</w:t>
      </w:r>
    </w:p>
    <w:p>
      <w:pPr>
        <w:ind w:firstLine="422" w:firstLineChars="200"/>
        <w:rPr>
          <w:b/>
          <w:bCs/>
          <w:szCs w:val="21"/>
        </w:rPr>
      </w:pPr>
    </w:p>
    <w:p>
      <w:pPr>
        <w:ind w:firstLine="422" w:firstLineChars="200"/>
        <w:rPr>
          <w:b/>
          <w:bCs/>
          <w:szCs w:val="21"/>
        </w:rPr>
      </w:pPr>
      <w:r>
        <w:rPr>
          <w:b/>
          <w:bCs/>
          <w:szCs w:val="21"/>
        </w:rPr>
        <w:t>（六）公众查阅环评报告书简本、索取补充信息的方式和期限</w:t>
      </w:r>
    </w:p>
    <w:p>
      <w:pPr>
        <w:ind w:firstLine="420" w:firstLineChars="200"/>
        <w:rPr>
          <w:bCs/>
          <w:kern w:val="0"/>
          <w:szCs w:val="21"/>
        </w:rPr>
      </w:pPr>
      <w:r>
        <w:rPr>
          <w:bCs/>
          <w:kern w:val="0"/>
          <w:szCs w:val="21"/>
        </w:rPr>
        <w:t>公众如需要查阅环评报告书简本或其它进一步的数据，可以致电建设单位或环评单位，也可来人上门联系，数据索取的时间建议不迟于20</w:t>
      </w:r>
      <w:r>
        <w:rPr>
          <w:rFonts w:hint="eastAsia"/>
          <w:bCs/>
          <w:kern w:val="0"/>
          <w:szCs w:val="21"/>
        </w:rPr>
        <w:t>2</w:t>
      </w:r>
      <w:r>
        <w:rPr>
          <w:bCs/>
          <w:kern w:val="0"/>
          <w:szCs w:val="21"/>
        </w:rPr>
        <w:t>2年8月31日。报告书简本放置于环评单位；</w:t>
      </w:r>
      <w:r>
        <w:rPr>
          <w:rFonts w:hint="eastAsia"/>
          <w:bCs/>
          <w:kern w:val="0"/>
          <w:szCs w:val="21"/>
        </w:rPr>
        <w:t>在报送审批前，本项目环境影响报告书全本将在浙江中蓝环境科技有限公司网站上进行全本公示，公众可进入http://www.zjzhonglan.com/查阅报告书全本。</w:t>
      </w:r>
    </w:p>
    <w:p>
      <w:pPr>
        <w:ind w:firstLine="422" w:firstLineChars="200"/>
        <w:rPr>
          <w:b/>
          <w:bCs/>
          <w:szCs w:val="21"/>
        </w:rPr>
      </w:pPr>
    </w:p>
    <w:p>
      <w:pPr>
        <w:ind w:firstLine="422" w:firstLineChars="200"/>
        <w:rPr>
          <w:b/>
          <w:bCs/>
          <w:szCs w:val="21"/>
        </w:rPr>
      </w:pPr>
      <w:r>
        <w:rPr>
          <w:b/>
          <w:bCs/>
          <w:szCs w:val="21"/>
        </w:rPr>
        <w:t>（七）征求公众意见的范围</w:t>
      </w:r>
    </w:p>
    <w:p>
      <w:pPr>
        <w:ind w:right="420" w:firstLine="420" w:firstLineChars="200"/>
        <w:rPr>
          <w:bCs/>
          <w:kern w:val="0"/>
          <w:szCs w:val="21"/>
        </w:rPr>
      </w:pPr>
      <w:r>
        <w:rPr>
          <w:bCs/>
          <w:kern w:val="0"/>
          <w:szCs w:val="21"/>
        </w:rPr>
        <w:t>征求意见的范围主要为附近敏感点</w:t>
      </w:r>
      <w:r>
        <w:rPr>
          <w:rFonts w:hint="eastAsia"/>
          <w:bCs/>
          <w:kern w:val="0"/>
          <w:szCs w:val="21"/>
        </w:rPr>
        <w:t>：永兴街道的</w:t>
      </w:r>
      <w:r>
        <w:rPr>
          <w:rFonts w:hint="eastAsia"/>
          <w:szCs w:val="21"/>
        </w:rPr>
        <w:t>五溪村、北园社区、金海社区、南园社区，</w:t>
      </w:r>
      <w:r>
        <w:rPr>
          <w:rFonts w:hint="eastAsia"/>
          <w:bCs/>
          <w:kern w:val="0"/>
          <w:szCs w:val="21"/>
        </w:rPr>
        <w:t>海滨街道的</w:t>
      </w:r>
      <w:r>
        <w:rPr>
          <w:rFonts w:hint="eastAsia"/>
          <w:szCs w:val="21"/>
        </w:rPr>
        <w:t>建新村、沙中村</w:t>
      </w:r>
      <w:r>
        <w:rPr>
          <w:szCs w:val="21"/>
        </w:rPr>
        <w:t>等行政村</w:t>
      </w:r>
      <w:r>
        <w:rPr>
          <w:rFonts w:hint="eastAsia"/>
          <w:szCs w:val="21"/>
        </w:rPr>
        <w:t>和居委会</w:t>
      </w:r>
      <w:r>
        <w:rPr>
          <w:bCs/>
          <w:kern w:val="0"/>
          <w:szCs w:val="21"/>
        </w:rPr>
        <w:t>。</w:t>
      </w:r>
    </w:p>
    <w:p>
      <w:pPr>
        <w:ind w:firstLine="422" w:firstLineChars="200"/>
        <w:rPr>
          <w:b/>
          <w:bCs/>
          <w:szCs w:val="21"/>
        </w:rPr>
      </w:pPr>
    </w:p>
    <w:p>
      <w:pPr>
        <w:ind w:firstLine="422" w:firstLineChars="200"/>
        <w:rPr>
          <w:b/>
          <w:bCs/>
          <w:szCs w:val="21"/>
        </w:rPr>
      </w:pPr>
      <w:r>
        <w:rPr>
          <w:b/>
          <w:bCs/>
          <w:szCs w:val="21"/>
        </w:rPr>
        <w:t>（八）公众提出意见的起止时间</w:t>
      </w:r>
    </w:p>
    <w:p>
      <w:pPr>
        <w:ind w:right="420" w:firstLine="420" w:firstLineChars="200"/>
        <w:rPr>
          <w:bCs/>
          <w:kern w:val="0"/>
          <w:szCs w:val="21"/>
        </w:rPr>
      </w:pPr>
      <w:r>
        <w:rPr>
          <w:bCs/>
          <w:kern w:val="0"/>
          <w:szCs w:val="21"/>
        </w:rPr>
        <w:t>有效期限：2022年8月</w:t>
      </w:r>
      <w:r>
        <w:rPr>
          <w:rFonts w:hint="eastAsia"/>
          <w:bCs/>
          <w:kern w:val="0"/>
          <w:szCs w:val="21"/>
        </w:rPr>
        <w:t>1</w:t>
      </w:r>
      <w:r>
        <w:rPr>
          <w:bCs/>
          <w:kern w:val="0"/>
          <w:szCs w:val="21"/>
        </w:rPr>
        <w:t>7日</w:t>
      </w:r>
      <w:r>
        <w:rPr>
          <w:rFonts w:hint="eastAsia"/>
          <w:bCs/>
          <w:kern w:val="0"/>
          <w:szCs w:val="21"/>
        </w:rPr>
        <w:t>~</w:t>
      </w:r>
      <w:r>
        <w:rPr>
          <w:bCs/>
          <w:kern w:val="0"/>
          <w:szCs w:val="21"/>
        </w:rPr>
        <w:t>8月31日</w:t>
      </w:r>
    </w:p>
    <w:p>
      <w:pPr>
        <w:ind w:firstLine="422" w:firstLineChars="200"/>
        <w:rPr>
          <w:b/>
          <w:bCs/>
          <w:szCs w:val="21"/>
        </w:rPr>
      </w:pPr>
    </w:p>
    <w:p>
      <w:pPr>
        <w:keepNext/>
        <w:keepLines/>
        <w:ind w:firstLine="422" w:firstLineChars="200"/>
        <w:rPr>
          <w:b/>
          <w:bCs/>
          <w:kern w:val="44"/>
          <w:szCs w:val="21"/>
        </w:rPr>
      </w:pPr>
      <w:r>
        <w:rPr>
          <w:b/>
          <w:bCs/>
          <w:szCs w:val="21"/>
        </w:rPr>
        <w:t>（九）</w:t>
      </w:r>
      <w:r>
        <w:rPr>
          <w:b/>
          <w:bCs/>
          <w:kern w:val="44"/>
          <w:szCs w:val="21"/>
        </w:rPr>
        <w:t>项目审批部门</w:t>
      </w:r>
    </w:p>
    <w:p>
      <w:pPr>
        <w:ind w:right="420" w:firstLine="388" w:firstLineChars="200"/>
        <w:rPr>
          <w:bCs/>
          <w:spacing w:val="-8"/>
          <w:kern w:val="0"/>
          <w:szCs w:val="21"/>
        </w:rPr>
      </w:pPr>
      <w:r>
        <w:rPr>
          <w:bCs/>
          <w:spacing w:val="-8"/>
          <w:kern w:val="0"/>
          <w:szCs w:val="21"/>
        </w:rPr>
        <w:t>审批单位：温州市生态环境局</w:t>
      </w:r>
      <w:r>
        <w:rPr>
          <w:rFonts w:hint="eastAsia"/>
          <w:bCs/>
          <w:spacing w:val="-8"/>
          <w:kern w:val="0"/>
          <w:szCs w:val="21"/>
        </w:rPr>
        <w:t>龙湾分局</w:t>
      </w:r>
      <w:r>
        <w:rPr>
          <w:bCs/>
          <w:spacing w:val="-8"/>
          <w:kern w:val="0"/>
          <w:szCs w:val="21"/>
        </w:rPr>
        <w:t xml:space="preserve">  联系电话：</w:t>
      </w:r>
      <w:r>
        <w:t>0577-86968381</w:t>
      </w:r>
    </w:p>
    <w:p>
      <w:pPr>
        <w:ind w:firstLine="422" w:firstLineChars="200"/>
        <w:rPr>
          <w:b/>
          <w:bCs/>
          <w:szCs w:val="21"/>
        </w:rPr>
      </w:pPr>
    </w:p>
    <w:p>
      <w:pPr>
        <w:ind w:firstLine="422" w:firstLineChars="200"/>
        <w:rPr>
          <w:b/>
          <w:bCs/>
          <w:szCs w:val="21"/>
        </w:rPr>
      </w:pPr>
      <w:r>
        <w:rPr>
          <w:b/>
          <w:bCs/>
          <w:szCs w:val="21"/>
        </w:rPr>
        <w:t>（十）环境影响评价单位</w:t>
      </w:r>
    </w:p>
    <w:p>
      <w:pPr>
        <w:ind w:firstLine="420" w:firstLineChars="200"/>
        <w:rPr>
          <w:szCs w:val="21"/>
        </w:rPr>
      </w:pPr>
      <w:r>
        <w:rPr>
          <w:szCs w:val="21"/>
        </w:rPr>
        <w:t>公众查阅环境影响报告书简本以及索取相关补充信息，自本项目公示之日起10个工作日内，可通过电话或写信等方式与环评单位或建设单位联系</w:t>
      </w:r>
      <w:r>
        <w:rPr>
          <w:rFonts w:hint="eastAsia"/>
          <w:szCs w:val="21"/>
        </w:rPr>
        <w:t>。</w:t>
      </w:r>
    </w:p>
    <w:p>
      <w:pPr>
        <w:ind w:firstLine="420" w:firstLineChars="200"/>
        <w:rPr>
          <w:kern w:val="0"/>
          <w:szCs w:val="21"/>
        </w:rPr>
      </w:pPr>
      <w:r>
        <w:rPr>
          <w:kern w:val="0"/>
          <w:szCs w:val="21"/>
        </w:rPr>
        <w:t>联系人：郑先生    电话：0577-88981248    传真：0577-88980212</w:t>
      </w:r>
    </w:p>
    <w:p>
      <w:pPr>
        <w:ind w:firstLine="420" w:firstLineChars="200"/>
        <w:rPr>
          <w:kern w:val="0"/>
          <w:szCs w:val="21"/>
        </w:rPr>
      </w:pPr>
      <w:r>
        <w:rPr>
          <w:kern w:val="0"/>
          <w:szCs w:val="21"/>
        </w:rPr>
        <w:t>地址：温州市市府路525号同人恒玖大厦20楼    E-mail：</w:t>
      </w:r>
      <w:r>
        <w:fldChar w:fldCharType="begin"/>
      </w:r>
      <w:r>
        <w:instrText xml:space="preserve"> HYPERLINK "mailto:403427166@qq.com" </w:instrText>
      </w:r>
      <w:r>
        <w:fldChar w:fldCharType="separate"/>
      </w:r>
      <w:r>
        <w:rPr>
          <w:rStyle w:val="9"/>
          <w:color w:val="auto"/>
          <w:kern w:val="0"/>
          <w:szCs w:val="21"/>
        </w:rPr>
        <w:t>403427166@qq.com</w:t>
      </w:r>
      <w:r>
        <w:rPr>
          <w:rStyle w:val="9"/>
          <w:color w:val="auto"/>
          <w:kern w:val="0"/>
          <w:szCs w:val="21"/>
        </w:rPr>
        <w:fldChar w:fldCharType="end"/>
      </w:r>
    </w:p>
    <w:p>
      <w:pPr>
        <w:ind w:firstLine="422" w:firstLineChars="200"/>
        <w:rPr>
          <w:b/>
          <w:szCs w:val="21"/>
        </w:rPr>
      </w:pPr>
    </w:p>
    <w:p>
      <w:pPr>
        <w:ind w:firstLine="422" w:firstLineChars="200"/>
        <w:rPr>
          <w:szCs w:val="21"/>
        </w:rPr>
      </w:pPr>
      <w:r>
        <w:rPr>
          <w:b/>
          <w:szCs w:val="21"/>
        </w:rPr>
        <w:t>（十一）建设单位</w:t>
      </w:r>
    </w:p>
    <w:p>
      <w:pPr>
        <w:ind w:right="420" w:firstLine="420" w:firstLineChars="200"/>
        <w:rPr>
          <w:szCs w:val="21"/>
        </w:rPr>
      </w:pPr>
      <w:r>
        <w:rPr>
          <w:szCs w:val="21"/>
        </w:rPr>
        <w:t>建设单位名称：浙江伟明盛青能源新材料有限公司</w:t>
      </w:r>
    </w:p>
    <w:p>
      <w:pPr>
        <w:ind w:right="420" w:firstLine="420" w:firstLineChars="200"/>
        <w:rPr>
          <w:szCs w:val="21"/>
          <w:highlight w:val="yellow"/>
        </w:rPr>
      </w:pPr>
      <w:r>
        <w:rPr>
          <w:szCs w:val="21"/>
        </w:rPr>
        <w:t>联系人：</w:t>
      </w:r>
      <w:r>
        <w:rPr>
          <w:rFonts w:hint="eastAsia"/>
          <w:szCs w:val="21"/>
        </w:rPr>
        <w:t>黄女士</w:t>
      </w:r>
      <w:r>
        <w:rPr>
          <w:szCs w:val="21"/>
        </w:rPr>
        <w:t xml:space="preserve">   联系电话：15317288168</w:t>
      </w:r>
    </w:p>
    <w:p>
      <w:pPr>
        <w:ind w:right="420" w:firstLine="422" w:firstLineChars="200"/>
        <w:rPr>
          <w:b/>
          <w:bCs/>
          <w:szCs w:val="21"/>
        </w:rPr>
      </w:pPr>
    </w:p>
    <w:p>
      <w:pPr>
        <w:ind w:right="420" w:firstLine="422" w:firstLineChars="200"/>
        <w:rPr>
          <w:b/>
          <w:bCs/>
          <w:szCs w:val="21"/>
        </w:rPr>
      </w:pPr>
      <w:r>
        <w:rPr>
          <w:b/>
          <w:bCs/>
          <w:szCs w:val="21"/>
        </w:rPr>
        <w:t>（十二）公告说明</w:t>
      </w:r>
    </w:p>
    <w:p>
      <w:pPr>
        <w:ind w:firstLine="420" w:firstLineChars="200"/>
        <w:rPr>
          <w:szCs w:val="21"/>
        </w:rPr>
      </w:pPr>
      <w:r>
        <w:rPr>
          <w:szCs w:val="21"/>
        </w:rPr>
        <w:t>公众对本建设项目现状及以上内容有环境保护意见的，可在公告之日起十个工作日内，电话、书面向环评单位或</w:t>
      </w:r>
      <w:r>
        <w:rPr>
          <w:kern w:val="24"/>
          <w:szCs w:val="21"/>
        </w:rPr>
        <w:t>当地管理机构</w:t>
      </w:r>
      <w:r>
        <w:rPr>
          <w:szCs w:val="21"/>
        </w:rPr>
        <w:t>提出。</w:t>
      </w:r>
    </w:p>
    <w:p>
      <w:pPr>
        <w:widowControl/>
        <w:ind w:right="525"/>
        <w:jc w:val="right"/>
        <w:rPr>
          <w:kern w:val="0"/>
          <w:szCs w:val="21"/>
        </w:rPr>
      </w:pPr>
      <w:r>
        <w:rPr>
          <w:kern w:val="0"/>
          <w:szCs w:val="21"/>
        </w:rPr>
        <w:t xml:space="preserve">                                                      </w:t>
      </w:r>
    </w:p>
    <w:p>
      <w:pPr>
        <w:widowControl/>
        <w:ind w:right="525"/>
        <w:jc w:val="right"/>
        <w:rPr>
          <w:kern w:val="0"/>
          <w:szCs w:val="21"/>
        </w:rPr>
      </w:pPr>
      <w:r>
        <w:rPr>
          <w:kern w:val="0"/>
          <w:szCs w:val="21"/>
        </w:rPr>
        <w:t xml:space="preserve"> 发布单位：</w:t>
      </w:r>
      <w:r>
        <w:rPr>
          <w:szCs w:val="21"/>
        </w:rPr>
        <w:t>浙江伟明盛青能源新材料有限公司</w:t>
      </w:r>
    </w:p>
    <w:p>
      <w:pPr>
        <w:jc w:val="center"/>
      </w:pPr>
      <w:r>
        <w:rPr>
          <w:kern w:val="0"/>
          <w:szCs w:val="21"/>
        </w:rPr>
        <w:t xml:space="preserve">                                                        发布时间：2022年8月17日</w:t>
      </w:r>
    </w:p>
    <w:sectPr>
      <w:footerReference r:id="rId3" w:type="default"/>
      <w:pgSz w:w="11907" w:h="16839"/>
      <w:pgMar w:top="1077" w:right="1077" w:bottom="1077" w:left="1077"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昆仑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070905"/>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Njk1NmE2OWNhYzQ0YTg5MmMyZDBhNTNlMWY1M2EifQ=="/>
  </w:docVars>
  <w:rsids>
    <w:rsidRoot w:val="00283EDA"/>
    <w:rsid w:val="00017EEC"/>
    <w:rsid w:val="000519E0"/>
    <w:rsid w:val="00091D5D"/>
    <w:rsid w:val="000A679E"/>
    <w:rsid w:val="000C4BF1"/>
    <w:rsid w:val="000E753A"/>
    <w:rsid w:val="00131B58"/>
    <w:rsid w:val="00147741"/>
    <w:rsid w:val="00166F0A"/>
    <w:rsid w:val="001F1D06"/>
    <w:rsid w:val="00283EDA"/>
    <w:rsid w:val="00296BDB"/>
    <w:rsid w:val="002D2774"/>
    <w:rsid w:val="002D2CE8"/>
    <w:rsid w:val="002F613D"/>
    <w:rsid w:val="00336560"/>
    <w:rsid w:val="00345EF7"/>
    <w:rsid w:val="00382C7D"/>
    <w:rsid w:val="003C6176"/>
    <w:rsid w:val="003F6428"/>
    <w:rsid w:val="0040325D"/>
    <w:rsid w:val="00410A46"/>
    <w:rsid w:val="00412D53"/>
    <w:rsid w:val="0043771F"/>
    <w:rsid w:val="004E2F95"/>
    <w:rsid w:val="00554922"/>
    <w:rsid w:val="00582EE7"/>
    <w:rsid w:val="005C717D"/>
    <w:rsid w:val="005D79C8"/>
    <w:rsid w:val="00600867"/>
    <w:rsid w:val="00634B87"/>
    <w:rsid w:val="006353B0"/>
    <w:rsid w:val="006509CF"/>
    <w:rsid w:val="00667912"/>
    <w:rsid w:val="006A321E"/>
    <w:rsid w:val="006A62D4"/>
    <w:rsid w:val="006A6FB2"/>
    <w:rsid w:val="006F3789"/>
    <w:rsid w:val="00757821"/>
    <w:rsid w:val="00757C0C"/>
    <w:rsid w:val="00763B3F"/>
    <w:rsid w:val="007B115B"/>
    <w:rsid w:val="00841011"/>
    <w:rsid w:val="00853539"/>
    <w:rsid w:val="0086026B"/>
    <w:rsid w:val="00882CDD"/>
    <w:rsid w:val="008B63E6"/>
    <w:rsid w:val="008E09C9"/>
    <w:rsid w:val="00913B3A"/>
    <w:rsid w:val="00922031"/>
    <w:rsid w:val="009341F7"/>
    <w:rsid w:val="00976705"/>
    <w:rsid w:val="00A21521"/>
    <w:rsid w:val="00A27824"/>
    <w:rsid w:val="00A67F88"/>
    <w:rsid w:val="00AA22E1"/>
    <w:rsid w:val="00AC16A9"/>
    <w:rsid w:val="00AD2A04"/>
    <w:rsid w:val="00AD741E"/>
    <w:rsid w:val="00B147C1"/>
    <w:rsid w:val="00B2180F"/>
    <w:rsid w:val="00B248DD"/>
    <w:rsid w:val="00B254D5"/>
    <w:rsid w:val="00B279F2"/>
    <w:rsid w:val="00B33D3E"/>
    <w:rsid w:val="00B41361"/>
    <w:rsid w:val="00BD0350"/>
    <w:rsid w:val="00C11E8C"/>
    <w:rsid w:val="00C44892"/>
    <w:rsid w:val="00C77291"/>
    <w:rsid w:val="00CB7871"/>
    <w:rsid w:val="00CC3A70"/>
    <w:rsid w:val="00D32E39"/>
    <w:rsid w:val="00D5628E"/>
    <w:rsid w:val="00D867C7"/>
    <w:rsid w:val="00DA33C4"/>
    <w:rsid w:val="00DD0EE2"/>
    <w:rsid w:val="00E75F0F"/>
    <w:rsid w:val="00E84B40"/>
    <w:rsid w:val="00E917FD"/>
    <w:rsid w:val="00ED17B1"/>
    <w:rsid w:val="00F1088D"/>
    <w:rsid w:val="00F20FE8"/>
    <w:rsid w:val="00F562D1"/>
    <w:rsid w:val="00F575C3"/>
    <w:rsid w:val="00F80F2F"/>
    <w:rsid w:val="00FA508C"/>
    <w:rsid w:val="00FA6C5D"/>
    <w:rsid w:val="00FE120A"/>
    <w:rsid w:val="00FF343C"/>
    <w:rsid w:val="015318EB"/>
    <w:rsid w:val="08F94461"/>
    <w:rsid w:val="09FA45C2"/>
    <w:rsid w:val="109757DA"/>
    <w:rsid w:val="16E453F6"/>
    <w:rsid w:val="2583769E"/>
    <w:rsid w:val="2BEE2AA9"/>
    <w:rsid w:val="3107425F"/>
    <w:rsid w:val="32574991"/>
    <w:rsid w:val="3F603E28"/>
    <w:rsid w:val="411B1AA8"/>
    <w:rsid w:val="48486E83"/>
    <w:rsid w:val="4E323905"/>
    <w:rsid w:val="54B46ECB"/>
    <w:rsid w:val="5BDB7020"/>
    <w:rsid w:val="6E044A5A"/>
    <w:rsid w:val="7A327B8F"/>
    <w:rsid w:val="7B75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uiPriority w:val="99"/>
    <w:pPr>
      <w:jc w:val="left"/>
    </w:pPr>
    <w:rPr>
      <w:kern w:val="0"/>
      <w:sz w:val="24"/>
    </w:rPr>
  </w:style>
  <w:style w:type="character" w:styleId="7">
    <w:name w:val="Strong"/>
    <w:basedOn w:val="6"/>
    <w:qFormat/>
    <w:uiPriority w:val="22"/>
    <w:rPr>
      <w:b/>
    </w:rPr>
  </w:style>
  <w:style w:type="character" w:styleId="8">
    <w:name w:val="FollowedHyperlink"/>
    <w:basedOn w:val="6"/>
    <w:semiHidden/>
    <w:unhideWhenUsed/>
    <w:uiPriority w:val="99"/>
    <w:rPr>
      <w:color w:val="3D3D3D"/>
      <w:u w:val="none"/>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character" w:customStyle="1" w:styleId="12">
    <w:name w:val="表格 Char"/>
    <w:link w:val="13"/>
    <w:qFormat/>
    <w:uiPriority w:val="0"/>
    <w:rPr>
      <w:rFonts w:ascii="昆仑仿宋" w:eastAsia="昆仑仿宋"/>
      <w:sz w:val="24"/>
    </w:rPr>
  </w:style>
  <w:style w:type="paragraph" w:customStyle="1" w:styleId="13">
    <w:name w:val="表格"/>
    <w:basedOn w:val="14"/>
    <w:link w:val="12"/>
    <w:qFormat/>
    <w:uiPriority w:val="0"/>
    <w:pPr>
      <w:adjustRightInd w:val="0"/>
      <w:spacing w:before="40" w:after="40"/>
      <w:textAlignment w:val="baseline"/>
    </w:pPr>
    <w:rPr>
      <w:rFonts w:ascii="昆仑仿宋" w:eastAsia="昆仑仿宋" w:hAnsiTheme="minorHAnsi" w:cstheme="minorBidi"/>
      <w:kern w:val="0"/>
      <w:sz w:val="24"/>
      <w:szCs w:val="20"/>
    </w:rPr>
  </w:style>
  <w:style w:type="paragraph" w:customStyle="1" w:styleId="14">
    <w:name w:val="表头"/>
    <w:basedOn w:val="1"/>
    <w:qFormat/>
    <w:uiPriority w:val="0"/>
    <w:pPr>
      <w:spacing w:line="360" w:lineRule="auto"/>
      <w:jc w:val="center"/>
    </w:pPr>
    <w:rPr>
      <w:rFonts w:ascii="Arial" w:hAnsi="Arial" w:eastAsia="黑体"/>
      <w:b/>
      <w:szCs w:val="21"/>
    </w:rPr>
  </w:style>
  <w:style w:type="paragraph" w:customStyle="1" w:styleId="15">
    <w:name w:val="tt1"/>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A657D-7E9F-4D5B-9590-6CB2699EB27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3222</Words>
  <Characters>3434</Characters>
  <Lines>26</Lines>
  <Paragraphs>7</Paragraphs>
  <TotalTime>402</TotalTime>
  <ScaleCrop>false</ScaleCrop>
  <LinksUpToDate>false</LinksUpToDate>
  <CharactersWithSpaces>3562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2017-12-11T02:20:00Z</dcterms:created>
  <dc:creator>xy052501</dc:creator>
  <cp:lastModifiedBy>冬天</cp:lastModifiedBy>
  <cp:lastPrinted>2019-07-09T08:09:00Z</cp:lastPrinted>
  <dcterms:modified xsi:type="dcterms:W3CDTF">2022-08-16T06:11:21Z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E845C1B4EF484F5F8F5F055279892C29</vt:lpwstr>
  </property>
</Properties>
</file>